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84C12">
      <w:pPr>
        <w:widowControl w:val="0"/>
        <w:spacing w:after="0" w:line="680" w:lineRule="exact"/>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67408AB0">
      <w:pPr>
        <w:widowControl w:val="0"/>
        <w:spacing w:after="0" w:line="680" w:lineRule="exact"/>
        <w:jc w:val="center"/>
        <w:rPr>
          <w:rFonts w:hint="default"/>
          <w:lang w:val="en-US" w:eastAsia="zh-CN"/>
        </w:rPr>
      </w:pPr>
      <w:bookmarkStart w:id="0" w:name="_GoBack"/>
      <w:bookmarkEnd w:id="0"/>
      <w:r>
        <w:rPr>
          <w:rFonts w:eastAsia="方正小标宋简体"/>
          <w:sz w:val="44"/>
          <w:lang w:eastAsia="zh-CN"/>
        </w:rPr>
        <w:t>选题</w:t>
      </w:r>
      <w:r>
        <w:rPr>
          <w:rFonts w:hint="eastAsia" w:eastAsia="方正小标宋简体"/>
          <w:sz w:val="44"/>
          <w:lang w:val="en-US" w:eastAsia="zh-CN"/>
        </w:rPr>
        <w:t>指南</w:t>
      </w:r>
    </w:p>
    <w:p w14:paraId="1DC4F0E3">
      <w:pPr>
        <w:widowControl w:val="0"/>
        <w:spacing w:after="0" w:line="600" w:lineRule="exact"/>
        <w:ind w:firstLine="640" w:firstLineChars="200"/>
        <w:jc w:val="both"/>
        <w:rPr>
          <w:rFonts w:eastAsia="黑体"/>
          <w:sz w:val="32"/>
          <w:lang w:eastAsia="zh-CN"/>
        </w:rPr>
      </w:pPr>
    </w:p>
    <w:p w14:paraId="65587AD3">
      <w:pPr>
        <w:widowControl w:val="0"/>
        <w:spacing w:after="0" w:line="600" w:lineRule="exact"/>
        <w:ind w:firstLine="640"/>
        <w:jc w:val="both"/>
        <w:rPr>
          <w:lang w:eastAsia="zh-CN"/>
        </w:rPr>
      </w:pPr>
      <w:r>
        <w:rPr>
          <w:rFonts w:hint="eastAsia" w:eastAsia="方正仿宋_GB2312"/>
          <w:sz w:val="32"/>
          <w:lang w:val="en-US" w:eastAsia="zh-CN"/>
        </w:rPr>
        <w:t>1.</w:t>
      </w:r>
      <w:r>
        <w:rPr>
          <w:rFonts w:eastAsia="方正仿宋_GB2312"/>
          <w:sz w:val="32"/>
          <w:lang w:eastAsia="zh-CN"/>
        </w:rPr>
        <w:t>四川各民族共有精神家园的文化符号挖掘与认同建构研究</w:t>
      </w:r>
    </w:p>
    <w:p w14:paraId="2176B9B4">
      <w:pPr>
        <w:widowControl w:val="0"/>
        <w:spacing w:after="0" w:line="600" w:lineRule="exact"/>
        <w:ind w:firstLine="640"/>
        <w:jc w:val="both"/>
        <w:rPr>
          <w:lang w:eastAsia="zh-CN"/>
        </w:rPr>
      </w:pPr>
      <w:r>
        <w:rPr>
          <w:rFonts w:hint="eastAsia" w:eastAsia="方正仿宋_GB2312"/>
          <w:sz w:val="32"/>
          <w:lang w:val="en-US" w:eastAsia="zh-CN"/>
        </w:rPr>
        <w:t>2.</w:t>
      </w:r>
      <w:r>
        <w:rPr>
          <w:rFonts w:eastAsia="方正仿宋_GB2312"/>
          <w:sz w:val="32"/>
          <w:lang w:eastAsia="zh-CN"/>
        </w:rPr>
        <w:t>川西多民族地区非遗活化利用与中华民族共有精神家园建设研究</w:t>
      </w:r>
    </w:p>
    <w:p w14:paraId="77255A83">
      <w:pPr>
        <w:widowControl w:val="0"/>
        <w:spacing w:after="0" w:line="600" w:lineRule="exact"/>
        <w:ind w:firstLine="640"/>
        <w:jc w:val="both"/>
        <w:rPr>
          <w:lang w:eastAsia="zh-CN"/>
        </w:rPr>
      </w:pPr>
      <w:r>
        <w:rPr>
          <w:rFonts w:hint="eastAsia" w:eastAsia="方正仿宋_GB2312"/>
          <w:sz w:val="32"/>
          <w:lang w:val="en-US" w:eastAsia="zh-CN"/>
        </w:rPr>
        <w:t>3.</w:t>
      </w:r>
      <w:r>
        <w:rPr>
          <w:rFonts w:eastAsia="方正仿宋_GB2312"/>
          <w:sz w:val="32"/>
          <w:lang w:eastAsia="zh-CN"/>
        </w:rPr>
        <w:t>四川民族地区高校铸牢中华民族共同体意识教育成效的动态监测与评估体系研究</w:t>
      </w:r>
    </w:p>
    <w:p w14:paraId="07DB4CAD">
      <w:pPr>
        <w:widowControl w:val="0"/>
        <w:spacing w:after="0" w:line="600" w:lineRule="exact"/>
        <w:ind w:firstLine="640"/>
        <w:jc w:val="both"/>
        <w:rPr>
          <w:rFonts w:hint="default" w:ascii="Times New Roman" w:hAnsi="Times New Roman" w:eastAsia="方正仿宋_GB2312" w:cs="Times New Roman"/>
          <w:sz w:val="32"/>
          <w:lang w:val="en-US" w:eastAsia="zh-CN"/>
        </w:rPr>
      </w:pPr>
      <w:r>
        <w:rPr>
          <w:rFonts w:hint="eastAsia" w:eastAsia="方正仿宋_GB2312" w:cs="Times New Roman"/>
          <w:sz w:val="32"/>
          <w:lang w:val="en-US" w:eastAsia="zh-CN"/>
        </w:rPr>
        <w:t>4.</w:t>
      </w:r>
      <w:r>
        <w:rPr>
          <w:rFonts w:hint="eastAsia" w:ascii="Times New Roman" w:hAnsi="Times New Roman" w:eastAsia="方正仿宋_GB2312" w:cs="Times New Roman"/>
          <w:sz w:val="32"/>
          <w:lang w:eastAsia="zh-CN"/>
        </w:rPr>
        <w:t>从自在到自觉：抗战视域下中华民族共同体意识的四川淬炼与历史贡献研究</w:t>
      </w:r>
    </w:p>
    <w:p w14:paraId="5F200F79">
      <w:pPr>
        <w:widowControl w:val="0"/>
        <w:spacing w:after="0" w:line="600" w:lineRule="exact"/>
        <w:ind w:firstLine="640"/>
        <w:jc w:val="both"/>
        <w:rPr>
          <w:rFonts w:hint="default" w:ascii="Times New Roman" w:hAnsi="Times New Roman" w:eastAsia="方正仿宋_GB2312" w:cs="Times New Roman"/>
          <w:sz w:val="32"/>
          <w:lang w:val="en-US" w:eastAsia="zh-CN"/>
        </w:rPr>
      </w:pPr>
      <w:r>
        <w:rPr>
          <w:rFonts w:hint="eastAsia" w:eastAsia="方正仿宋_GB2312" w:cs="Times New Roman"/>
          <w:sz w:val="32"/>
          <w:lang w:val="en-US" w:eastAsia="zh-CN"/>
        </w:rPr>
        <w:t>5.</w:t>
      </w:r>
      <w:r>
        <w:rPr>
          <w:rFonts w:hint="eastAsia" w:ascii="Times New Roman" w:hAnsi="Times New Roman" w:eastAsia="方正仿宋_GB2312" w:cs="Times New Roman"/>
          <w:sz w:val="32"/>
          <w:lang w:eastAsia="zh-CN"/>
        </w:rPr>
        <w:t>十八军乐山整训与进藏征程中中华民族共同体建构的历史实证研究</w:t>
      </w:r>
    </w:p>
    <w:p w14:paraId="08A79A64">
      <w:pPr>
        <w:widowControl w:val="0"/>
        <w:spacing w:after="0" w:line="600" w:lineRule="exact"/>
        <w:ind w:firstLine="640"/>
        <w:jc w:val="both"/>
        <w:rPr>
          <w:lang w:eastAsia="zh-CN"/>
        </w:rPr>
      </w:pPr>
      <w:r>
        <w:rPr>
          <w:rFonts w:hint="eastAsia" w:eastAsia="方正仿宋_GB2312"/>
          <w:sz w:val="32"/>
          <w:lang w:val="en-US" w:eastAsia="zh-CN"/>
        </w:rPr>
        <w:t>6.</w:t>
      </w:r>
      <w:r>
        <w:rPr>
          <w:rFonts w:eastAsia="方正仿宋_GB2312"/>
          <w:sz w:val="32"/>
          <w:lang w:eastAsia="zh-CN"/>
        </w:rPr>
        <w:t>数智技术赋能铸牢中华民族共同体意识宣传教育的四川经验研究</w:t>
      </w:r>
    </w:p>
    <w:p w14:paraId="25680582">
      <w:pPr>
        <w:widowControl w:val="0"/>
        <w:spacing w:after="0" w:line="600" w:lineRule="exact"/>
        <w:ind w:firstLine="640"/>
        <w:jc w:val="both"/>
        <w:rPr>
          <w:lang w:eastAsia="zh-CN"/>
        </w:rPr>
      </w:pPr>
      <w:r>
        <w:rPr>
          <w:rFonts w:hint="eastAsia" w:eastAsia="方正仿宋_GB2312"/>
          <w:sz w:val="32"/>
          <w:lang w:val="en-US" w:eastAsia="zh-CN"/>
        </w:rPr>
        <w:t>7.</w:t>
      </w:r>
      <w:r>
        <w:rPr>
          <w:rFonts w:eastAsia="方正仿宋_GB2312"/>
          <w:sz w:val="32"/>
          <w:lang w:eastAsia="zh-CN"/>
        </w:rPr>
        <w:t>四川城镇化进程中促进各民族交往交流交融的机制与路径研究</w:t>
      </w:r>
    </w:p>
    <w:p w14:paraId="615B9A5F">
      <w:pPr>
        <w:widowControl w:val="0"/>
        <w:spacing w:after="0" w:line="600" w:lineRule="exact"/>
        <w:ind w:firstLine="640"/>
        <w:jc w:val="both"/>
        <w:rPr>
          <w:lang w:eastAsia="zh-CN"/>
        </w:rPr>
      </w:pPr>
      <w:r>
        <w:rPr>
          <w:rFonts w:hint="eastAsia" w:eastAsia="方正仿宋_GB2312"/>
          <w:sz w:val="32"/>
          <w:lang w:val="en-US" w:eastAsia="zh-CN"/>
        </w:rPr>
        <w:t>8.</w:t>
      </w:r>
      <w:r>
        <w:rPr>
          <w:rFonts w:eastAsia="方正仿宋_GB2312"/>
          <w:sz w:val="32"/>
          <w:lang w:eastAsia="zh-CN"/>
        </w:rPr>
        <w:t>日常交往视角下城市多民族互嵌实践研究</w:t>
      </w:r>
    </w:p>
    <w:p w14:paraId="7E32CA24">
      <w:pPr>
        <w:widowControl w:val="0"/>
        <w:spacing w:after="0" w:line="600" w:lineRule="exact"/>
        <w:ind w:firstLine="640"/>
        <w:jc w:val="both"/>
        <w:rPr>
          <w:rFonts w:hint="eastAsia" w:eastAsia="方正仿宋_GB2312"/>
          <w:sz w:val="32"/>
          <w:lang w:val="en-US" w:eastAsia="zh-CN"/>
        </w:rPr>
      </w:pPr>
      <w:r>
        <w:rPr>
          <w:rFonts w:hint="eastAsia" w:eastAsia="方正仿宋_GB2312"/>
          <w:sz w:val="32"/>
          <w:lang w:val="en-US" w:eastAsia="zh-CN"/>
        </w:rPr>
        <w:t>9.</w:t>
      </w:r>
      <w:r>
        <w:rPr>
          <w:rFonts w:eastAsia="方正仿宋_GB2312"/>
          <w:sz w:val="32"/>
          <w:lang w:eastAsia="zh-CN"/>
        </w:rPr>
        <w:t>中华民族共同体视域下“三交”故事挖掘整理</w:t>
      </w:r>
      <w:r>
        <w:rPr>
          <w:rFonts w:hint="eastAsia" w:eastAsia="方正仿宋_GB2312"/>
          <w:sz w:val="32"/>
          <w:lang w:val="en-US" w:eastAsia="zh-CN"/>
        </w:rPr>
        <w:t>研究</w:t>
      </w:r>
    </w:p>
    <w:p w14:paraId="61FF1F76">
      <w:pPr>
        <w:widowControl w:val="0"/>
        <w:spacing w:after="0" w:line="600" w:lineRule="exact"/>
        <w:ind w:firstLine="640"/>
        <w:jc w:val="both"/>
        <w:rPr>
          <w:rFonts w:hint="default" w:eastAsia="方正仿宋_GB2312"/>
          <w:sz w:val="32"/>
          <w:lang w:val="en-US" w:eastAsia="zh-CN"/>
        </w:rPr>
      </w:pPr>
      <w:r>
        <w:rPr>
          <w:rFonts w:hint="eastAsia" w:eastAsia="方正仿宋_GB2312"/>
          <w:sz w:val="32"/>
          <w:lang w:val="en-US" w:eastAsia="zh-CN"/>
        </w:rPr>
        <w:t>10.</w:t>
      </w:r>
      <w:r>
        <w:rPr>
          <w:rFonts w:eastAsia="方正仿宋_GB2312"/>
          <w:sz w:val="32"/>
          <w:lang w:eastAsia="zh-CN"/>
        </w:rPr>
        <w:t>四川民族地区各民族交往交流交融评价指标体系构建及实证研究</w:t>
      </w:r>
    </w:p>
    <w:p w14:paraId="3F4C01AE">
      <w:pPr>
        <w:widowControl w:val="0"/>
        <w:spacing w:after="0" w:line="600" w:lineRule="exact"/>
        <w:ind w:firstLine="640"/>
        <w:jc w:val="both"/>
        <w:rPr>
          <w:rFonts w:hint="default" w:eastAsia="方正仿宋_GB2312"/>
          <w:sz w:val="32"/>
          <w:lang w:val="en-US" w:eastAsia="zh-CN"/>
        </w:rPr>
      </w:pPr>
      <w:r>
        <w:rPr>
          <w:rFonts w:hint="eastAsia" w:eastAsia="方正仿宋_GB2312"/>
          <w:sz w:val="32"/>
          <w:lang w:val="en-US" w:eastAsia="zh-CN"/>
        </w:rPr>
        <w:t>11.</w:t>
      </w:r>
      <w:r>
        <w:rPr>
          <w:rFonts w:eastAsia="方正仿宋_GB2312"/>
          <w:sz w:val="32"/>
          <w:lang w:eastAsia="zh-CN"/>
        </w:rPr>
        <w:t>涉藏州县深化民族团结进步创建工作的政策措施和实践路径研究</w:t>
      </w:r>
    </w:p>
    <w:p w14:paraId="7E4E4C03">
      <w:pPr>
        <w:widowControl w:val="0"/>
        <w:spacing w:after="0" w:line="600" w:lineRule="exact"/>
        <w:ind w:firstLine="640"/>
        <w:jc w:val="both"/>
        <w:rPr>
          <w:rFonts w:hint="default" w:eastAsia="方正仿宋_GB2312"/>
          <w:sz w:val="32"/>
          <w:lang w:val="en-US" w:eastAsia="zh-CN"/>
        </w:rPr>
      </w:pPr>
      <w:r>
        <w:rPr>
          <w:rFonts w:hint="eastAsia" w:eastAsia="方正仿宋_GB2312"/>
          <w:sz w:val="32"/>
          <w:lang w:val="en-US" w:eastAsia="zh-CN"/>
        </w:rPr>
        <w:t>12.</w:t>
      </w:r>
      <w:r>
        <w:rPr>
          <w:rFonts w:eastAsia="方正仿宋_GB2312"/>
          <w:sz w:val="32"/>
          <w:lang w:eastAsia="zh-CN"/>
        </w:rPr>
        <w:t>国家战略腹地战略下四川民族工作高质量发展的定位和方向研究</w:t>
      </w:r>
    </w:p>
    <w:p w14:paraId="1B28A6CD">
      <w:pPr>
        <w:widowControl w:val="0"/>
        <w:spacing w:after="0" w:line="600" w:lineRule="exact"/>
        <w:ind w:firstLine="640"/>
        <w:jc w:val="both"/>
        <w:rPr>
          <w:lang w:eastAsia="zh-CN"/>
        </w:rPr>
      </w:pPr>
      <w:r>
        <w:rPr>
          <w:rFonts w:hint="eastAsia" w:eastAsia="方正仿宋_GB2312"/>
          <w:sz w:val="32"/>
          <w:lang w:val="en-US" w:eastAsia="zh-CN"/>
        </w:rPr>
        <w:t>13.</w:t>
      </w:r>
      <w:r>
        <w:rPr>
          <w:rFonts w:eastAsia="方正仿宋_GB2312"/>
          <w:sz w:val="32"/>
          <w:lang w:eastAsia="zh-CN"/>
        </w:rPr>
        <w:t>四川民族地区资源转化与特色产业现代化路径研究</w:t>
      </w:r>
    </w:p>
    <w:p w14:paraId="428BD281">
      <w:pPr>
        <w:widowControl w:val="0"/>
        <w:spacing w:after="0" w:line="600" w:lineRule="exact"/>
        <w:ind w:firstLine="640"/>
        <w:jc w:val="both"/>
        <w:rPr>
          <w:rFonts w:hint="default" w:eastAsia="方正仿宋_GB2312"/>
          <w:sz w:val="32"/>
          <w:lang w:val="en-US" w:eastAsia="zh-CN"/>
        </w:rPr>
      </w:pPr>
      <w:r>
        <w:rPr>
          <w:rFonts w:hint="eastAsia" w:eastAsia="方正仿宋_GB2312"/>
          <w:sz w:val="32"/>
          <w:lang w:val="en-US" w:eastAsia="zh-CN"/>
        </w:rPr>
        <w:t>14.</w:t>
      </w:r>
      <w:r>
        <w:rPr>
          <w:rFonts w:eastAsia="方正仿宋_GB2312"/>
          <w:sz w:val="32"/>
          <w:lang w:eastAsia="zh-CN"/>
        </w:rPr>
        <w:t>民族地区东西部协作30年历史经验与机制优化研究</w:t>
      </w:r>
    </w:p>
    <w:p w14:paraId="24CBEC5E">
      <w:pPr>
        <w:widowControl w:val="0"/>
        <w:spacing w:after="0" w:line="600" w:lineRule="exact"/>
        <w:ind w:firstLine="640"/>
        <w:jc w:val="both"/>
        <w:rPr>
          <w:lang w:eastAsia="zh-CN"/>
        </w:rPr>
      </w:pPr>
      <w:r>
        <w:rPr>
          <w:rFonts w:hint="eastAsia" w:eastAsia="方正仿宋_GB2312"/>
          <w:sz w:val="32"/>
          <w:lang w:val="en-US" w:eastAsia="zh-CN"/>
        </w:rPr>
        <w:t>15.</w:t>
      </w:r>
      <w:r>
        <w:rPr>
          <w:rFonts w:eastAsia="方正仿宋_GB2312"/>
          <w:sz w:val="32"/>
          <w:lang w:eastAsia="zh-CN"/>
        </w:rPr>
        <w:t>农文旅融合推进四川民族地区共同富裕的实现路径研究</w:t>
      </w:r>
    </w:p>
    <w:p w14:paraId="6A210BCE">
      <w:pPr>
        <w:widowControl w:val="0"/>
        <w:spacing w:after="0" w:line="600" w:lineRule="exact"/>
        <w:ind w:firstLine="640"/>
        <w:jc w:val="both"/>
        <w:rPr>
          <w:rFonts w:hint="default"/>
          <w:lang w:val="en-US" w:eastAsia="zh-CN"/>
        </w:rPr>
      </w:pPr>
      <w:r>
        <w:rPr>
          <w:rFonts w:hint="eastAsia" w:eastAsia="方正仿宋_GB2312"/>
          <w:sz w:val="32"/>
          <w:lang w:val="en-US" w:eastAsia="zh-CN"/>
        </w:rPr>
        <w:t>16.</w:t>
      </w:r>
      <w:r>
        <w:rPr>
          <w:rFonts w:eastAsia="方正仿宋_GB2312"/>
          <w:sz w:val="32"/>
          <w:lang w:eastAsia="zh-CN"/>
        </w:rPr>
        <w:t>民族地区融入新发展格局实现共同现代化研究</w:t>
      </w:r>
    </w:p>
    <w:p w14:paraId="41CB5A09">
      <w:pPr>
        <w:widowControl w:val="0"/>
        <w:spacing w:after="0" w:line="600" w:lineRule="exact"/>
        <w:ind w:firstLine="640"/>
        <w:jc w:val="both"/>
        <w:rPr>
          <w:rFonts w:eastAsia="方正仿宋_GB2312"/>
          <w:sz w:val="32"/>
          <w:lang w:eastAsia="zh-CN"/>
        </w:rPr>
      </w:pPr>
      <w:r>
        <w:rPr>
          <w:rFonts w:hint="eastAsia" w:eastAsia="方正仿宋_GB2312"/>
          <w:sz w:val="32"/>
          <w:lang w:val="en-US" w:eastAsia="zh-CN"/>
        </w:rPr>
        <w:t>17.</w:t>
      </w:r>
      <w:r>
        <w:rPr>
          <w:rFonts w:eastAsia="方正仿宋_GB2312"/>
          <w:sz w:val="32"/>
          <w:lang w:eastAsia="zh-CN"/>
        </w:rPr>
        <w:t>成渝地区双城经济圈带动涉藏及周边民族地区共同现代化研究</w:t>
      </w:r>
    </w:p>
    <w:p w14:paraId="64FDDA9E">
      <w:pPr>
        <w:widowControl w:val="0"/>
        <w:spacing w:after="0" w:line="600" w:lineRule="exact"/>
        <w:ind w:firstLine="640"/>
        <w:jc w:val="both"/>
        <w:rPr>
          <w:rFonts w:hint="default"/>
          <w:lang w:val="en-US" w:eastAsia="zh-CN"/>
        </w:rPr>
      </w:pPr>
      <w:r>
        <w:rPr>
          <w:rFonts w:hint="eastAsia" w:eastAsia="方正仿宋_GB2312"/>
          <w:sz w:val="32"/>
          <w:lang w:val="en-US" w:eastAsia="zh-CN"/>
        </w:rPr>
        <w:t>18.</w:t>
      </w:r>
      <w:r>
        <w:rPr>
          <w:rFonts w:hint="eastAsia" w:eastAsia="方正仿宋_GB2312"/>
          <w:sz w:val="32"/>
          <w:lang w:eastAsia="zh-CN"/>
        </w:rPr>
        <w:t>政策支撑视角下铸牢中华民族共同体意识建设的实践路径研究</w:t>
      </w:r>
    </w:p>
    <w:p w14:paraId="0847F6D6">
      <w:pPr>
        <w:widowControl w:val="0"/>
        <w:spacing w:after="0" w:line="600" w:lineRule="exact"/>
        <w:ind w:firstLine="640"/>
        <w:jc w:val="both"/>
        <w:rPr>
          <w:rFonts w:hint="default" w:eastAsia="方正仿宋_GB2312"/>
          <w:sz w:val="32"/>
          <w:lang w:val="en-US" w:eastAsia="zh-CN"/>
        </w:rPr>
      </w:pPr>
      <w:r>
        <w:rPr>
          <w:rFonts w:hint="eastAsia" w:eastAsia="方正仿宋_GB2312"/>
          <w:sz w:val="32"/>
          <w:lang w:val="en-US" w:eastAsia="zh-CN"/>
        </w:rPr>
        <w:t>19.</w:t>
      </w:r>
      <w:r>
        <w:rPr>
          <w:rFonts w:hint="eastAsia" w:eastAsia="方正仿宋_GB2312"/>
          <w:sz w:val="32"/>
          <w:lang w:eastAsia="zh-CN"/>
        </w:rPr>
        <w:t>《民族团结进步促进法》视域下国家战略腹地与西南边疆协同治理法治化研究</w:t>
      </w:r>
    </w:p>
    <w:p w14:paraId="4BCD6645">
      <w:pPr>
        <w:widowControl w:val="0"/>
        <w:spacing w:after="0" w:line="600" w:lineRule="exact"/>
        <w:ind w:firstLine="640"/>
        <w:jc w:val="both"/>
        <w:rPr>
          <w:rFonts w:hint="default"/>
          <w:lang w:val="en-US" w:eastAsia="zh-CN"/>
        </w:rPr>
      </w:pPr>
      <w:r>
        <w:rPr>
          <w:rFonts w:hint="eastAsia" w:eastAsia="方正仿宋_GB2312"/>
          <w:sz w:val="32"/>
          <w:lang w:val="en-US" w:eastAsia="zh-CN"/>
        </w:rPr>
        <w:t>20.</w:t>
      </w:r>
      <w:r>
        <w:rPr>
          <w:rFonts w:eastAsia="方正仿宋_GB2312"/>
          <w:sz w:val="32"/>
          <w:lang w:eastAsia="zh-CN"/>
        </w:rPr>
        <w:t>四川宗教活动场所</w:t>
      </w:r>
      <w:r>
        <w:rPr>
          <w:rFonts w:hint="eastAsia" w:eastAsia="方正仿宋_GB2312"/>
          <w:sz w:val="32"/>
          <w:lang w:val="en-US" w:eastAsia="zh-CN"/>
        </w:rPr>
        <w:t>建设行为</w:t>
      </w:r>
      <w:r>
        <w:rPr>
          <w:rFonts w:eastAsia="方正仿宋_GB2312"/>
          <w:sz w:val="32"/>
          <w:lang w:eastAsia="zh-CN"/>
        </w:rPr>
        <w:t>规范化法治化</w:t>
      </w:r>
      <w:r>
        <w:rPr>
          <w:rFonts w:hint="eastAsia" w:eastAsia="方正仿宋_GB2312"/>
          <w:sz w:val="32"/>
          <w:lang w:val="en-US" w:eastAsia="zh-CN"/>
        </w:rPr>
        <w:t>管理</w:t>
      </w:r>
      <w:r>
        <w:rPr>
          <w:rFonts w:eastAsia="方正仿宋_GB2312"/>
          <w:sz w:val="32"/>
          <w:lang w:eastAsia="zh-CN"/>
        </w:rPr>
        <w:t>实践研究</w:t>
      </w:r>
    </w:p>
    <w:p w14:paraId="13A6A114"/>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1B0240-A0F7-4509-8065-CAA815F204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A163A19-D24D-42C9-9EA1-C99D41121B5A}"/>
  </w:font>
  <w:font w:name="方正小标宋简体">
    <w:panose1 w:val="02000000000000000000"/>
    <w:charset w:val="86"/>
    <w:family w:val="script"/>
    <w:pitch w:val="default"/>
    <w:sig w:usb0="00000001" w:usb1="08000000" w:usb2="00000000" w:usb3="00000000" w:csb0="00040000" w:csb1="00000000"/>
    <w:embedRegular r:id="rId3" w:fontKey="{E964B522-7CD2-4468-A685-8D6AAC893A4B}"/>
  </w:font>
  <w:font w:name="方正仿宋_GB2312">
    <w:panose1 w:val="02000000000000000000"/>
    <w:charset w:val="86"/>
    <w:family w:val="auto"/>
    <w:pitch w:val="default"/>
    <w:sig w:usb0="A00002BF" w:usb1="184F6CFA" w:usb2="00000012" w:usb3="00000000" w:csb0="00040001" w:csb1="00000000"/>
    <w:embedRegular r:id="rId4" w:fontKey="{DD79557B-20C0-47B0-8AD8-A90C089CF97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861934"/>
    <w:rsid w:val="4E884F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imes New Roman"/>
      <w:sz w:val="22"/>
      <w:szCs w:val="22"/>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633</Words>
  <Characters>638</Characters>
  <Lines>0</Lines>
  <Paragraphs>0</Paragraphs>
  <TotalTime>16</TotalTime>
  <ScaleCrop>false</ScaleCrop>
  <LinksUpToDate>false</LinksUpToDate>
  <CharactersWithSpaces>638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2026-09-10T23:00:00Z</dcterms:created>
  <dc:creator>陈彬龙</dc:creator>
  <cp:lastModifiedBy>Sherry</cp:lastModifiedBy>
  <dcterms:modified xsi:type="dcterms:W3CDTF">2026-10-08T07:58:42Z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eyJoZGlkIjoiMzcyODMxYTE0ZTc0ZGU3Y2QwODc3MzYzN2Q1YmNiM2EiLCJ1c2VySWQiOiI2NzgzNDA5MzcifQ==</vt:lpwstr>
  </property>
  <property fmtid="{D5CDD505-2E9C-101B-9397-08002B2CF9AE}" pid="4" name="ICV">
    <vt:lpwstr>786D59E958C14FDAB97723ADD40A5DB2_13</vt:lpwstr>
  </property>
</Properties>
</file>