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AFA72">
      <w:pPr>
        <w:keepNext w:val="0"/>
        <w:keepLines w:val="0"/>
        <w:pageBreakBefore w:val="0"/>
        <w:widowControl w:val="0"/>
        <w:kinsoku/>
        <w:wordWrap/>
        <w:overflowPunct/>
        <w:topLinePunct w:val="0"/>
        <w:autoSpaceDE/>
        <w:autoSpaceDN/>
        <w:bidi w:val="0"/>
        <w:adjustRightInd/>
        <w:snapToGrid/>
        <w:spacing w:before="156" w:beforeLines="50" w:after="0" w:line="560" w:lineRule="exact"/>
        <w:jc w:val="center"/>
        <w:textAlignment w:val="auto"/>
        <w:rPr>
          <w:rFonts w:hint="eastAsia" w:ascii="宋体" w:hAnsi="宋体" w:cs="宋体" w:eastAsiaTheme="minorEastAsia"/>
          <w:b/>
          <w:bCs/>
          <w:color w:val="FF0000"/>
          <w:kern w:val="2"/>
          <w:sz w:val="72"/>
          <w:szCs w:val="72"/>
          <w:lang w:val="en-US" w:eastAsia="zh-CN"/>
        </w:rPr>
      </w:pPr>
      <w:r>
        <w:rPr>
          <w:rFonts w:hint="eastAsia" w:ascii="宋体" w:hAnsi="宋体" w:cs="宋体" w:eastAsiaTheme="minorEastAsia"/>
          <w:b/>
          <w:bCs/>
          <w:color w:val="FF0000"/>
          <w:kern w:val="2"/>
          <w:sz w:val="72"/>
          <w:szCs w:val="72"/>
          <w:lang w:val="en-US" w:eastAsia="zh-CN"/>
        </w:rPr>
        <w:t>2026-2027学年第一学期</w:t>
      </w:r>
    </w:p>
    <w:p w14:paraId="4DAEB4D4">
      <w:pPr>
        <w:keepNext w:val="0"/>
        <w:keepLines w:val="0"/>
        <w:pageBreakBefore w:val="0"/>
        <w:widowControl w:val="0"/>
        <w:kinsoku/>
        <w:wordWrap/>
        <w:overflowPunct/>
        <w:topLinePunct w:val="0"/>
        <w:autoSpaceDE/>
        <w:autoSpaceDN/>
        <w:bidi w:val="0"/>
        <w:adjustRightInd/>
        <w:snapToGrid/>
        <w:spacing w:before="156" w:beforeLines="50" w:after="0" w:line="560" w:lineRule="exact"/>
        <w:jc w:val="center"/>
        <w:textAlignment w:val="auto"/>
        <w:rPr>
          <w:rFonts w:hint="eastAsia" w:ascii="宋体" w:hAnsi="宋体" w:cs="宋体" w:eastAsiaTheme="minorEastAsia"/>
          <w:b/>
          <w:bCs/>
          <w:color w:val="FF0000"/>
          <w:kern w:val="2"/>
          <w:sz w:val="72"/>
          <w:szCs w:val="72"/>
          <w:lang w:val="en-US" w:eastAsia="zh-CN"/>
        </w:rPr>
      </w:pPr>
      <w:r>
        <w:rPr>
          <w:rFonts w:hint="eastAsia" w:ascii="宋体" w:hAnsi="宋体" w:cs="宋体" w:eastAsiaTheme="minorEastAsia"/>
          <w:b/>
          <w:bCs/>
          <w:color w:val="FF0000"/>
          <w:kern w:val="2"/>
          <w:sz w:val="72"/>
          <w:szCs w:val="72"/>
          <w:lang w:val="en-US" w:eastAsia="zh-CN"/>
        </w:rPr>
        <w:t>教学巡查通报</w:t>
      </w:r>
    </w:p>
    <w:p w14:paraId="782D5EA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bCs/>
          <w:color w:val="000000"/>
          <w:sz w:val="32"/>
          <w:szCs w:val="32"/>
        </w:rPr>
      </w:pPr>
      <w:r>
        <w:rPr>
          <w:rFonts w:hint="eastAsia" w:ascii="黑体" w:hAnsi="黑体" w:eastAsia="黑体" w:cs="宋体"/>
          <w:b/>
          <w:bCs/>
          <w:color w:val="000000"/>
          <w:sz w:val="32"/>
          <w:szCs w:val="32"/>
        </w:rPr>
        <w:t>第四期</w:t>
      </w:r>
    </w:p>
    <w:p w14:paraId="7849FBC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color w:val="000000"/>
          <w:kern w:val="0"/>
          <w:sz w:val="32"/>
          <w:szCs w:val="32"/>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309245</wp:posOffset>
                </wp:positionV>
                <wp:extent cx="5409565" cy="15240"/>
                <wp:effectExtent l="0" t="3175" r="635" b="38735"/>
                <wp:wrapNone/>
                <wp:docPr id="1" name="直接连接符 1"/>
                <wp:cNvGraphicFramePr/>
                <a:graphic xmlns:a="http://schemas.openxmlformats.org/drawingml/2006/main">
                  <a:graphicData uri="http://schemas.microsoft.com/office/word/2010/wordprocessingShape">
                    <wps:wsp>
                      <wps:cNvCnPr/>
                      <wps:spPr>
                        <a:xfrm flipV="1">
                          <a:off x="0" y="0"/>
                          <a:ext cx="5409565" cy="15240"/>
                        </a:xfrm>
                        <a:prstGeom prst="line">
                          <a:avLst/>
                        </a:prstGeom>
                        <a:ln w="50800"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4.5pt;margin-top:24.35pt;height:1.2pt;width:425.95pt;z-index:251659264;mso-width-relative:page;mso-height-relative:page;" filled="f" stroked="t" coordsize="21600,21600" o:gfxdata="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uc1hjaAAAACAEAAA8AAAAAAAAAAQAgAAAAIgAAAGRycy9k&#10;b3ducmV2LnhtbFBLAQIUABQAAAAIAIdO4kDClmSWAAIAAPUDAAAOAAAAAAAAAAEAIAAAACkBAABk&#10;cnMvZTJvRG9jLnhtbFBLBQYAAAAABgAGAFkBAACbBQAAAAA=&#10;">
                <v:fill on="f" focussize="0,0"/>
                <v:stroke weight="4pt" color="#FF0000" joinstyle="round"/>
                <v:imagedata o:title=""/>
                <o:lock v:ext="edit" aspectratio="f"/>
              </v:line>
            </w:pict>
          </mc:Fallback>
        </mc:AlternateContent>
      </w:r>
      <w:r>
        <w:rPr>
          <w:rFonts w:hint="eastAsia" w:ascii="仿宋" w:hAnsi="仿宋" w:eastAsia="仿宋" w:cs="仿宋"/>
          <w:color w:val="000000"/>
          <w:kern w:val="0"/>
          <w:sz w:val="32"/>
          <w:szCs w:val="32"/>
        </w:rPr>
        <w:t>四川工业科技学院教务处</w:t>
      </w:r>
      <w:r>
        <w:rPr>
          <w:rFonts w:hint="eastAsia" w:ascii="仿宋" w:hAnsi="仿宋" w:eastAsia="仿宋" w:cs="仿宋"/>
          <w:color w:val="000000"/>
          <w:kern w:val="0"/>
          <w:sz w:val="32"/>
          <w:szCs w:val="32"/>
          <w:lang w:val="en-US" w:eastAsia="zh-CN"/>
        </w:rPr>
        <w:t xml:space="preserve">               </w:t>
      </w:r>
      <w:r>
        <w:rPr>
          <w:rFonts w:hint="eastAsia" w:ascii="仿宋" w:hAnsi="仿宋" w:eastAsia="仿宋" w:cs="仿宋"/>
          <w:sz w:val="32"/>
          <w:szCs w:val="32"/>
        </w:rPr>
        <w:t>2026年9月30日</w:t>
      </w:r>
    </w:p>
    <w:p w14:paraId="2C7D1ADF">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本周临近中秋、国庆假期，全校教学转入常态提质、假期平稳过渡的关键阶段。为保障放假前课堂教学质量平稳有序，教务处通过日常巡查、</w:t>
      </w:r>
      <w:r>
        <w:rPr>
          <w:rFonts w:hint="eastAsia" w:ascii="仿宋" w:hAnsi="仿宋" w:eastAsia="仿宋" w:cs="仿宋"/>
          <w:sz w:val="32"/>
          <w:szCs w:val="32"/>
          <w:lang w:eastAsia="zh-CN"/>
        </w:rPr>
        <w:t>节前专项巡查</w:t>
      </w:r>
      <w:r>
        <w:rPr>
          <w:rFonts w:hint="eastAsia" w:ascii="仿宋" w:hAnsi="仿宋" w:eastAsia="仿宋" w:cs="仿宋"/>
          <w:sz w:val="32"/>
          <w:szCs w:val="32"/>
        </w:rPr>
        <w:t>、专项督查相结合的方式，对各二级学</w:t>
      </w:r>
      <w:bookmarkStart w:id="0" w:name="_GoBack"/>
      <w:bookmarkEnd w:id="0"/>
      <w:r>
        <w:rPr>
          <w:rFonts w:hint="eastAsia" w:ascii="仿宋" w:hAnsi="仿宋" w:eastAsia="仿宋" w:cs="仿宋"/>
          <w:sz w:val="32"/>
          <w:szCs w:val="32"/>
        </w:rPr>
        <w:t>院教学运行情况进行全覆盖巡查，重点关注教学进度执行、课堂互动与即时反馈、临假纪律与到课管理、教室卫生治理及教学保障等关键环节。现将本周整体情况通报如下：</w:t>
      </w:r>
    </w:p>
    <w:p w14:paraId="3EDAA3AC">
      <w:pPr>
        <w:keepNext w:val="0"/>
        <w:keepLines w:val="0"/>
        <w:pageBreakBefore w:val="0"/>
        <w:widowControl/>
        <w:kinsoku/>
        <w:wordWrap/>
        <w:overflowPunct/>
        <w:topLinePunct w:val="0"/>
        <w:autoSpaceDE/>
        <w:autoSpaceDN/>
        <w:bidi w:val="0"/>
        <w:adjustRightInd/>
        <w:snapToGrid/>
        <w:spacing w:after="0" w:line="360" w:lineRule="auto"/>
        <w:ind w:firstLine="643" w:firstLineChars="200"/>
        <w:textAlignment w:val="auto"/>
        <w:rPr>
          <w:rFonts w:ascii="黑体" w:hAnsi="黑体" w:eastAsia="黑体"/>
          <w:b/>
          <w:sz w:val="32"/>
          <w:szCs w:val="24"/>
        </w:rPr>
      </w:pPr>
      <w:r>
        <w:rPr>
          <w:rFonts w:ascii="黑体" w:hAnsi="黑体" w:eastAsia="黑体"/>
          <w:b/>
          <w:sz w:val="32"/>
          <w:szCs w:val="24"/>
        </w:rPr>
        <w:t>一、总体情况</w:t>
      </w:r>
    </w:p>
    <w:p w14:paraId="0BFB45EA">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周全校教学运行秩序整体平稳有序，全体任课教师按时到岗授课，无教学事故发生。本周最鲜明的特点是26级新生开课已度过适应期、进入首个完整常态化教学周，同时临接中秋、国庆假期，教学重心由新生开学第一课护航转入常态提质与假期平稳过渡，各学院围绕常态教学提质、节前收心稳序、课堂纪律与卫生治理、教学进度执行、实训实践规范五大核心任务有序开展教学工作。与第三周相比，本周教学节奏更加平稳、课堂形态更加成熟，理论讲授、实验实训、上机操作、现场教学等多种课堂形态协同推进，讲练结合、当堂过关、板书与多媒体协同等提质举措成效初步显现。</w:t>
      </w:r>
    </w:p>
    <w:p w14:paraId="335CB557">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从巡课数据看，各学院优秀课堂占比多数维持在60%以上，教师教学准备充分、教学进度与学期周历执行契合，课程思政从硬植入走向软融入、育人成效更自然，信息化教学手段运用与课堂互动意识进一步增强。学生方面，多数学生已进入稳定学习状态，前排就坐率与课堂抬头率明显提升，动手实践与当堂巩固意识增强，26级新生、专升本学生衔接趋于稳定。多数学院到课率较上周明显提升，如大健康学院平均到课率达98.8%（较上周94.9%提升），教室卫生治理成效初显，卫生问题由上周34堂次降至9堂次。但仍有部分学生存在课堂玩手机、专注度不足、靠后就坐等问题，个别班级学风建设仍需持续加强。</w:t>
      </w:r>
    </w:p>
    <w:p w14:paraId="4E94E715">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pPr>
      <w:r>
        <w:rPr>
          <w:rFonts w:hint="eastAsia" w:ascii="仿宋" w:hAnsi="仿宋" w:eastAsia="仿宋" w:cs="仿宋"/>
          <w:sz w:val="32"/>
          <w:szCs w:val="32"/>
        </w:rPr>
        <w:t>本周突出问题集中在以下方面：一是临近中秋、国庆假期，放假前学生普遍出现节前浮躁心态，个别课堂临假当天交头接耳、频繁看手机、提前收拾书包，课堂张力有所松动，需警惕假期综合征前移；二是课堂玩手机现象虽有缓解但仍未根除，个别课堂多人同时玩手机，课堂纪律管理仍需常抓不懈；三是部分课堂仍以教师单向讲授为主，讲多练少、师生互动深度不足，学生参与不够均衡；四是少数教师课堂教学方法相对单一，线上线下融合教学多停留在浅层，教学节奏与环节把控有待提升；五是个别教学保障细节需加强，存在教室后门锁闭致无法查课、无法清点人数等情况。</w:t>
      </w:r>
    </w:p>
    <w:p w14:paraId="60CC001D">
      <w:pPr>
        <w:keepNext w:val="0"/>
        <w:keepLines w:val="0"/>
        <w:pageBreakBefore w:val="0"/>
        <w:widowControl/>
        <w:kinsoku/>
        <w:wordWrap/>
        <w:overflowPunct/>
        <w:topLinePunct w:val="0"/>
        <w:autoSpaceDE/>
        <w:autoSpaceDN/>
        <w:bidi w:val="0"/>
        <w:adjustRightInd/>
        <w:snapToGrid/>
        <w:spacing w:after="0" w:line="360" w:lineRule="auto"/>
        <w:ind w:firstLine="643" w:firstLineChars="200"/>
        <w:textAlignment w:val="auto"/>
        <w:rPr>
          <w:rFonts w:ascii="黑体" w:hAnsi="黑体" w:eastAsia="黑体"/>
          <w:b/>
          <w:sz w:val="32"/>
          <w:szCs w:val="24"/>
        </w:rPr>
      </w:pPr>
      <w:r>
        <w:rPr>
          <w:rFonts w:ascii="黑体" w:hAnsi="黑体" w:eastAsia="黑体"/>
          <w:b/>
          <w:sz w:val="32"/>
          <w:szCs w:val="24"/>
        </w:rPr>
        <w:t>二、课堂教学分析</w:t>
      </w:r>
    </w:p>
    <w:p w14:paraId="6CF22F38">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1.马克思主义学院</w:t>
      </w:r>
    </w:p>
    <w:p w14:paraId="674508DD">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巡课基础情况：累计巡课10次，覆盖10位教师、22个班级、5门课程。</w:t>
      </w:r>
    </w:p>
    <w:p w14:paraId="5B475474">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教学质量分层：优秀课堂9人次，占比90%；良好课堂1人次，占比10%，无合格、不合格课堂。</w:t>
      </w:r>
    </w:p>
    <w:p w14:paraId="489B817C">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课堂亮点：优秀教师专业功底深厚，善于将抽象理论转化为生动实践，让课堂充满活力。涂桂香老师在《思想道德与法治》课程中，将教材中抽象的理论观点与社会热点及学生成长中的现实困惑相结合，通过案例分析和课堂互动层层设问，引导学生在思考与讨论中深化对道德规范和法治精神的理解，讲授语言准确生动、课堂节奏张弛有度，学生参与积极，教学效果突出。良好教师严格落实一人一案、一课一案的个性化备课要求，受到学生好评。</w:t>
      </w:r>
    </w:p>
    <w:p w14:paraId="342FF22B">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ascii="宋体" w:hAnsi="宋体" w:eastAsia="宋体"/>
          <w:sz w:val="24"/>
        </w:rPr>
      </w:pPr>
      <w:r>
        <w:rPr>
          <w:rFonts w:hint="eastAsia" w:ascii="仿宋" w:hAnsi="仿宋" w:eastAsia="仿宋" w:cs="仿宋"/>
          <w:sz w:val="32"/>
          <w:szCs w:val="32"/>
        </w:rPr>
        <w:t>现存问题：一是学生课堂参与仍不够均衡，主动发言和互动集中在少数学生，部分学生长时间处于被动听讲状态；二是个别教师课堂互动方式相对单一，以提问—应答为主，小组讨论、案例研讨等形式运用不够充分；三是少数课堂信息化教学手段使用较保守，课件呈现与板书结合不够紧密；四是个别课程教学进度安排偏紧，课堂总结和重点回扣环节被压缩。</w:t>
      </w:r>
    </w:p>
    <w:p w14:paraId="27E9D018">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2.信息工程学院</w:t>
      </w:r>
    </w:p>
    <w:p w14:paraId="16DD3E1B">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巡课基础情况：组建行政、辅导员、专任教师、学生信息员四支巡查小组，累计巡课5次，覆盖74位教师、112个班级、67门课程，重点随堂听课18堂次、深入课堂21次。</w:t>
      </w:r>
    </w:p>
    <w:p w14:paraId="31E5258E">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教学质量分层：优秀课堂16堂次，占比88.9%；良好课堂2堂次，占比11.1%，无合格、不合格课堂。</w:t>
      </w:r>
    </w:p>
    <w:p w14:paraId="6C8BA6F5">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课堂亮点：本周是26级新生开课后的首个完整常态化教学周，教学转入常态提质主线。教师普遍严格依据教学进度表推进授课，周历执行规范、节奏平稳；课程思政从硬植入走向软融入，编程类课程结合代码规范强调工程伦理，工程类课程融入工匠精神，大学英语及艺术类课程渗透文化自信与审美素养；板书推演与多媒体演示协同互补，重难点可视可溯；讲练结合与即时反馈特征更突出，编程课边讲边练、当堂运行演示，设计类课程当场巡批、即时点评，多设随堂小测与随机提问。学生前排就坐率与课堂抬头率明显提升，动手实践与当堂巩固意识增强。</w:t>
      </w:r>
    </w:p>
    <w:p w14:paraId="1614EF58">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现存问题：一是放假前一天部分学生临假心思浮动，课堂交头接耳、频繁查看手机、提前收拾书包，临假浮躁苗头显现；二是部分课堂讲多练少，学生当堂消化与即时反馈不足；三是线上线下融合教学深度不够，课前导学、课后拓展闭环尚未形成；四是少数课堂教学方法相对单一，多元化教法运用不足。</w:t>
      </w:r>
    </w:p>
    <w:p w14:paraId="0CC4634C">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3.教育学院</w:t>
      </w:r>
    </w:p>
    <w:p w14:paraId="2C84C934">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巡课基础情况：累计巡课16堂次，覆盖教师25人次、27个班次、37门次，重点随堂听课12堂次。</w:t>
      </w:r>
    </w:p>
    <w:p w14:paraId="02BDC8DD">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教学质量分层：优秀课堂8堂次，占比67%；良好课堂4堂次，占比33%，无合格、不合格课堂。</w:t>
      </w:r>
    </w:p>
    <w:p w14:paraId="11C74781">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课堂亮点：优秀教师讲解生动、与学生互动频繁、对课程内容把握精准。曾皎妮老师的小学教育课程教学逻辑清晰、内容扎实，贴合小学教育专业人才培养需求，重难点突出；张进砂老师的三笔字课程教学规范有序、注重实操，有效指导学生练习书写技能。学生平均到课率100%，出勤纪律良好。</w:t>
      </w:r>
    </w:p>
    <w:p w14:paraId="50132651">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现存问题：中秋、国庆放假前，学生普遍出现节前松懈心态，部分课堂走神、闲聊、发呆等行为增多，课堂参与积极性下降；少数教师疏于课堂管理、教学节奏放缓、互动偏少，对学生违纪行为提醒纠正不及时；部分学生课前准备不到位，课堂整体学习氛围松散。</w:t>
      </w:r>
    </w:p>
    <w:p w14:paraId="4F74CD92">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4.大健康学院</w:t>
      </w:r>
    </w:p>
    <w:p w14:paraId="113A1530">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巡课基础情况：累计巡查7次、巡课堂数280堂，涉及任课教师89名，覆盖护理学、食品质量与安全、酿酒工程等专业及26级护理学（专升本）等教学班，涵盖护理学类及食品酿酒类多门课程，重点围绕专升本与各年级本科教学质量、课堂纪律与卫生管理、实训课教学规范及26级本科基础实训开课情况展开。</w:t>
      </w:r>
    </w:p>
    <w:p w14:paraId="6549EBE2">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教学质量分层：优秀课堂178堂，占比63.6%；一般课堂41堂，占比14.6%；秩序较差课堂5堂，占比1.8%，无不合格课堂。</w:t>
      </w:r>
    </w:p>
    <w:p w14:paraId="06703CE9">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课堂亮点：本周整体呈现“教学运行平稳、出勤持续向好、课堂纪律与卫生管理稳步改善”的特点。实训课组织规范有序：顾茜老师《基础护理学Ⅰ》实训示范严谨、操作指导到位，徐佳雨老师《化学实验Ⅱ》课前安全交底细致，白霞老师《微生物学实验》、蒋毅老师《食品微生物学实验》流程规范、准备充分，詹淼波、秦川茹老师《新生儿抚触（一）》实训场景贴近临床、演示标准；理论课叶锋老师《组织胚胎学》结构讲解条理清晰，杨灿老师《食品工程原理》结合工程实例讲解深入，孙彦娟老师《内科护理学Ⅱ》、郭智林老师《外科护理学Ⅱ》临床案例导入自然。26级本科护理新生在基础护理、护理礼仪实训中态度认真、投入度高。平均到课率98.8%，较上周明显提升；教室卫生问题降至9堂次，治理成效初显。</w:t>
      </w:r>
    </w:p>
    <w:p w14:paraId="3D1BA43F">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现存问题：一是学生课堂玩手机现象虽较上周（52堂次）有所减少，本周仍有41堂次，个别课堂多人同时玩手机，课堂纪律管理仍需常抓不懈；二是少数课堂存在学生睡觉、戴耳机、用手机看剧、课桌放早餐等行为；三是个别教学保障与考勤不到位，存在教室后门上锁致无法查课、无法清点人数等情况；四是教室卫生治理成效初显但需巩固，个别教室仍有脏乱现象。</w:t>
      </w:r>
    </w:p>
    <w:p w14:paraId="6B22D6D2">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5.计算机工程学院</w:t>
      </w:r>
    </w:p>
    <w:p w14:paraId="3A455803">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巡课基础情况：累计巡课3次，覆盖10位教师、12个班级、5门课程。</w:t>
      </w:r>
    </w:p>
    <w:p w14:paraId="4A8DC004">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教学质量分层：优秀课堂1人次，占比10%；良好课堂9人次，占比90%，无合格、不合格课堂。</w:t>
      </w:r>
    </w:p>
    <w:p w14:paraId="495B3193">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课堂亮点：优秀教师讲解生动、与学生互动频繁、对课程内容把握精准，善用丰富案例将复杂理论深入浅出地讲解，学生积极回应，整体教学流程完整。学生平均到课率97%。</w:t>
      </w:r>
    </w:p>
    <w:p w14:paraId="1162F219">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现存问题：部分学生存在耍手机、睡觉、不认真听讲等现象，课堂专注度有待提高；个别教师课堂教学质量不高、讲课精神状态欠佳，需督促整改。</w:t>
      </w:r>
    </w:p>
    <w:p w14:paraId="61183B06">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6.体育学院</w:t>
      </w:r>
    </w:p>
    <w:p w14:paraId="7F89CC65">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巡课基础情况：累计深入课堂巡课10次，全覆盖10名授课教师、10个教学班级、6门课程，重点随堂听课10堂次。</w:t>
      </w:r>
    </w:p>
    <w:p w14:paraId="113AD1D5">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教学质量分层：优秀课堂6堂次，占比60%；良好课堂3堂次，占比30%；合格课堂1堂次，占比10%，无不合格课堂。</w:t>
      </w:r>
    </w:p>
    <w:p w14:paraId="3DA6CA80">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课堂亮点：优秀教师教学功底扎实、课程重难点把握精准、讲解生动形象，善于结合专业案例拆解晦涩理论，做到深入浅出、通俗易懂；立足专业发展视角优化课堂设计，教学特色鲜明、师生互动充分，学生参与积极性高。学生平均到课率99%，积极活跃课堂占比90%。</w:t>
      </w:r>
    </w:p>
    <w:p w14:paraId="33D0D4EF">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现存问题：部分课堂学生精神状态不佳，存在后排就座、上课打瞌睡、玩手机等违纪现象；个别学生学习态度松懈，上课未携带教材，课堂专注力不足，主动参与课堂互动的积极性欠缺。</w:t>
      </w:r>
    </w:p>
    <w:p w14:paraId="56D2C200">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7.经济管理学院</w:t>
      </w:r>
    </w:p>
    <w:p w14:paraId="28A43200">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巡课基础情况：累计巡课3次，覆盖30位教师、26个班级、19门课程，重点随堂听课8堂次。</w:t>
      </w:r>
    </w:p>
    <w:p w14:paraId="7DDA67C7">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教学质量分层：优秀课堂6堂次，占比75%；良好课堂2堂次，占比25%，无合格、不合格课堂。</w:t>
      </w:r>
    </w:p>
    <w:p w14:paraId="01208228">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课堂亮点：本周全院所有班级均进入教学状态，授课教师备课认真、课中组织得当、互动积极，课堂效果较好。温兴艳老师《旅游政策法规》教态自然、声音洪亮、重难点突出，运用了多元化教学手段和方法；周星老师《企业财务会计》语言表达清晰、重难点突出、课堂把控得当。学生平均到课率97.9%。</w:t>
      </w:r>
    </w:p>
    <w:p w14:paraId="34908B15">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现存问题：一是课堂师生互动深度不足，多为简单问答、集体应答，缺乏探究式、启发式深度互动，课堂氛围较为沉闷；二是少数教师现代化信息化教学手段运用欠佳，仍依赖传统板书、PPT灌输模式；三是个别教师课堂整体把控能力有待提升，课前导入、重难点突破、课堂小结等环节衔接不够紧凑。</w:t>
      </w:r>
    </w:p>
    <w:p w14:paraId="7A93A44D">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8.智能制造与车辆工程学院</w:t>
      </w:r>
    </w:p>
    <w:p w14:paraId="27A352F8">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巡课基础情况：累计巡课63次，覆盖44位教师、44个班级、44门课程，涵盖理论课堂与实训实操课堂。</w:t>
      </w:r>
    </w:p>
    <w:p w14:paraId="580F10E1">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教学质量分层：优秀课堂35人次，占比79.5%；良好课堂9人次，占比20.5%，无合格、不合格课堂。</w:t>
      </w:r>
    </w:p>
    <w:p w14:paraId="69823A02">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课堂亮点：优秀教师授课内容把握精准、讲解生动形象、课堂互动频次高；实训课程能够规范组织实操教学，有效引导学生动手练习。学生平均到课率100%，大部分班级课堂氛围较好，学生参与度较高。</w:t>
      </w:r>
    </w:p>
    <w:p w14:paraId="68F72004">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现存问题：一是部分教师为追赶教学进度，以单向灌输讲授为主，缺少贴合学生学情的互动教学设计，未能及时捕捉学生走神信号，课堂吸引力不足；二是少数学生自我约束能力弱，课上低头走神、玩手机，后排学生“隐身”现象较为突出，注意力不集中。</w:t>
      </w:r>
    </w:p>
    <w:p w14:paraId="6EE41654">
      <w:pPr>
        <w:keepNext w:val="0"/>
        <w:keepLines w:val="0"/>
        <w:pageBreakBefore w:val="0"/>
        <w:widowControl/>
        <w:kinsoku/>
        <w:wordWrap/>
        <w:overflowPunct/>
        <w:topLinePunct w:val="0"/>
        <w:autoSpaceDE/>
        <w:autoSpaceDN/>
        <w:bidi w:val="0"/>
        <w:adjustRightInd/>
        <w:snapToGrid/>
        <w:spacing w:after="0" w:line="360" w:lineRule="auto"/>
        <w:ind w:firstLine="643" w:firstLineChars="200"/>
        <w:textAlignment w:val="auto"/>
        <w:rPr>
          <w:rFonts w:ascii="黑体" w:hAnsi="黑体" w:eastAsia="黑体"/>
          <w:b/>
          <w:sz w:val="32"/>
          <w:szCs w:val="24"/>
        </w:rPr>
      </w:pPr>
      <w:r>
        <w:rPr>
          <w:rFonts w:ascii="黑体" w:hAnsi="黑体" w:eastAsia="黑体"/>
          <w:b/>
          <w:sz w:val="32"/>
          <w:szCs w:val="24"/>
        </w:rPr>
        <w:t>三、改进措施</w:t>
      </w:r>
    </w:p>
    <w:p w14:paraId="251E2C0D">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结合第四周常态教学提质、假期平稳过渡阶段暴露的各类问题，立足节前收心稳序、课堂互动深化、课堂手机与卫生管理巩固、教学保障衔接等工作要求，压实教学与学生管理责任，保障放假前及假期前后教学质量平稳，制定以下整改及常态化管理要求：</w:t>
      </w:r>
    </w:p>
    <w:p w14:paraId="4EDA81E2">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（一）强化节前收心稳序，抓好假期前后教学衔接</w:t>
      </w:r>
    </w:p>
    <w:p w14:paraId="05D7B0BC">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任课教师在放假前最后一课以任务驱动、当堂成果展示等方式保持学生专注，避免放羊式收尾；辅导员依托节前班会重申课堂纪律与请假规范，做好安全与学风提醒；针对节前心思浮动、作息紊乱等情况，加强课堂管理、收紧教学节奏，引导学生调整状态，确保假期前后教学不断线。</w:t>
      </w:r>
    </w:p>
    <w:p w14:paraId="660A0D1F">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（二）深化讲练结合与课堂互动，提升课堂参与质量</w:t>
      </w:r>
    </w:p>
    <w:p w14:paraId="20A64834">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将随堂练习、运行演示、即时反馈纳入课堂基本环节，明确不同课程练的频次与形式，推行当堂过关；树立学生主体课堂，丰富随机提问、小组研讨、案例探究、随堂展示等多样化互动形式，扩大学生参与覆盖面；教研室以集体备课统一重难点与当堂过关标准，把讲练比与即时反馈作为课堂观察参考维度。</w:t>
      </w:r>
    </w:p>
    <w:p w14:paraId="1E65913E">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（三）持续强化课堂手机、纪律与卫生管理，巩固治理成效</w:t>
      </w:r>
    </w:p>
    <w:p w14:paraId="208A6AF7">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任课教师课前重申课堂纪律要求，对玩手机、戴耳机、看剧、睡觉等行为及时提醒制止，倡导课前手机集中存放或“无手机课堂”；落实教室值日与课后随手清理制度，辅导员与班委共同监督，及时清理桌面与地面垃圾；巩固教室卫生治理成效，对仍有脏乱的教室及时整改，保持教室干净整洁。</w:t>
      </w:r>
    </w:p>
    <w:p w14:paraId="7AA0D14B">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ascii="仿宋" w:hAnsi="仿宋" w:eastAsia="仿宋"/>
          <w:b w:val="0"/>
          <w:color w:val="000000"/>
          <w:sz w:val="32"/>
        </w:rPr>
        <w:t>（四）加强教学保障与常态化巡课闭环，及时整改细节问题</w:t>
      </w:r>
    </w:p>
    <w:p w14:paraId="4907C634">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ascii="仿宋" w:hAnsi="仿宋" w:eastAsia="仿宋"/>
          <w:b w:val="0"/>
          <w:color w:val="000000"/>
          <w:sz w:val="32"/>
        </w:rPr>
        <w:t>对教室后门锁闭、无法清点人数等教学保障问题，教学管理部门及时核实并协调解决，任课教师严格落实课堂考勤；对个别课堂教学质量不高、精神状态欠佳的教师，督促其整改并由教研室跟踪问效；巡课组坚持常态化巡课与每日通报，对课堂纪律、出勤、卫生、教学保障实行每日通报、每周小结，及时反馈并跟踪整改闭环，推动问题立行立改、见底清零。</w:t>
      </w:r>
    </w:p>
    <w:p w14:paraId="41333F81">
      <w:pPr>
        <w:keepNext w:val="0"/>
        <w:keepLines w:val="0"/>
        <w:pageBreakBefore w:val="0"/>
        <w:widowControl/>
        <w:kinsoku/>
        <w:wordWrap/>
        <w:overflowPunct/>
        <w:topLinePunct w:val="0"/>
        <w:autoSpaceDE/>
        <w:autoSpaceDN/>
        <w:bidi w:val="0"/>
        <w:adjustRightInd/>
        <w:snapToGrid/>
        <w:spacing w:after="0" w:line="360" w:lineRule="auto"/>
        <w:ind w:firstLine="643" w:firstLineChars="200"/>
        <w:textAlignment w:val="auto"/>
        <w:rPr>
          <w:sz w:val="28"/>
          <w:szCs w:val="24"/>
        </w:rPr>
      </w:pPr>
      <w:r>
        <w:rPr>
          <w:rFonts w:ascii="黑体" w:hAnsi="黑体" w:eastAsia="黑体"/>
          <w:b/>
          <w:sz w:val="32"/>
          <w:szCs w:val="24"/>
        </w:rPr>
        <w:t>四、结语</w:t>
      </w:r>
    </w:p>
    <w:p w14:paraId="68F8512E">
      <w:pPr>
        <w:keepNext w:val="0"/>
        <w:keepLines w:val="0"/>
        <w:pageBreakBefore w:val="0"/>
        <w:widowControl/>
        <w:kinsoku/>
        <w:wordWrap/>
        <w:overflowPunct/>
        <w:topLinePunct w:val="0"/>
        <w:autoSpaceDE/>
        <w:autoSpaceDN/>
        <w:bidi w:val="0"/>
        <w:adjustRightInd/>
        <w:snapToGrid/>
        <w:spacing w:after="0"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周全校教学已由新生开学第一课护航转入常态提质、假期平稳过渡的新阶段，26级新生进入首个完整常态化教学周、行课平稳有序，各年级各课程教学进度执行规范，讲练结合、当堂过关、课程思政软融入等提质举措初见成效，广大教师履职到位。同时，节前浮躁心态、课堂手机与纪律管理、师生互动深度、教学保障细节等问题仍需各学院高度重视，坚持问题导向立行立改，抓好假期前后教学衔接与节后收心，持续抓实教风学风建设，推动新学期教学工作高质量发展。</w:t>
      </w:r>
    </w:p>
    <w:p w14:paraId="60C6D6BC">
      <w:pPr>
        <w:keepNext w:val="0"/>
        <w:keepLines w:val="0"/>
        <w:pageBreakBefore w:val="0"/>
        <w:widowControl/>
        <w:kinsoku/>
        <w:wordWrap/>
        <w:overflowPunct/>
        <w:topLinePunct w:val="0"/>
        <w:autoSpaceDE/>
        <w:autoSpaceDN/>
        <w:bidi w:val="0"/>
        <w:adjustRightInd/>
        <w:snapToGrid/>
        <w:spacing w:after="0" w:line="360" w:lineRule="auto"/>
        <w:ind w:firstLine="640" w:firstLineChars="200"/>
        <w:jc w:val="right"/>
        <w:textAlignment w:val="auto"/>
        <w:rPr>
          <w:rFonts w:hint="eastAsia" w:ascii="仿宋" w:hAnsi="仿宋" w:eastAsia="仿宋" w:cs="仿宋"/>
          <w:sz w:val="32"/>
          <w:szCs w:val="32"/>
        </w:rPr>
      </w:pPr>
      <w:r>
        <w:rPr>
          <w:rFonts w:hint="eastAsia" w:ascii="仿宋" w:hAnsi="仿宋" w:eastAsia="仿宋" w:cs="仿宋"/>
          <w:sz w:val="32"/>
          <w:szCs w:val="32"/>
        </w:rPr>
        <w:t>教务处</w:t>
      </w:r>
    </w:p>
    <w:p w14:paraId="478696D1">
      <w:pPr>
        <w:keepNext w:val="0"/>
        <w:keepLines w:val="0"/>
        <w:pageBreakBefore w:val="0"/>
        <w:widowControl/>
        <w:kinsoku/>
        <w:wordWrap/>
        <w:overflowPunct/>
        <w:topLinePunct w:val="0"/>
        <w:autoSpaceDE/>
        <w:autoSpaceDN/>
        <w:bidi w:val="0"/>
        <w:adjustRightInd/>
        <w:snapToGrid/>
        <w:spacing w:after="0" w:line="360" w:lineRule="auto"/>
        <w:ind w:firstLine="640" w:firstLineChars="200"/>
        <w:jc w:val="right"/>
        <w:textAlignment w:val="auto"/>
        <w:rPr>
          <w:rFonts w:hint="eastAsia" w:ascii="仿宋" w:hAnsi="仿宋" w:eastAsia="仿宋" w:cs="仿宋"/>
          <w:sz w:val="32"/>
          <w:szCs w:val="32"/>
        </w:rPr>
      </w:pPr>
      <w:r>
        <w:rPr>
          <w:rFonts w:hint="eastAsia" w:ascii="仿宋" w:hAnsi="仿宋" w:eastAsia="仿宋" w:cs="仿宋"/>
          <w:sz w:val="32"/>
          <w:szCs w:val="32"/>
        </w:rPr>
        <w:t>2026年9月30日</w:t>
      </w:r>
    </w:p>
    <w:sectPr>
      <w:pgSz w:w="12240" w:h="15840"/>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MS Mincho">
    <w:panose1 w:val="02020609040205080304"/>
    <w:charset w:val="80"/>
    <w:family w:val="auto"/>
    <w:pitch w:val="default"/>
    <w:sig w:usb0="E00002FF" w:usb1="6AC7FDFB" w:usb2="00000012" w:usb3="00000000" w:csb0="4002009F" w:csb1="DFD70000"/>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F35535"/>
    <w:rsid w:val="052C4F54"/>
    <w:rsid w:val="06267246"/>
    <w:rsid w:val="18366051"/>
    <w:rsid w:val="1D0A490D"/>
    <w:rsid w:val="20270A5D"/>
    <w:rsid w:val="23A22E33"/>
    <w:rsid w:val="257074C7"/>
    <w:rsid w:val="2624159B"/>
    <w:rsid w:val="26FD66BA"/>
    <w:rsid w:val="291C3D7C"/>
    <w:rsid w:val="3F8073EA"/>
    <w:rsid w:val="478D2CB4"/>
    <w:rsid w:val="4CD616FE"/>
    <w:rsid w:val="523F4EE3"/>
    <w:rsid w:val="561641AD"/>
    <w:rsid w:val="57B43C7D"/>
    <w:rsid w:val="5A832DFC"/>
    <w:rsid w:val="5BB50481"/>
    <w:rsid w:val="64A00496"/>
    <w:rsid w:val="72C963D7"/>
    <w:rsid w:val="7C9613F6"/>
    <w:rsid w:val="7DD00F6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5175</Words>
  <Characters>5337</Characters>
  <Lines>0</Lines>
  <Paragraphs>0</Paragraphs>
  <TotalTime>223</TotalTime>
  <ScaleCrop>false</ScaleCrop>
  <LinksUpToDate>false</LinksUpToDate>
  <CharactersWithSpaces>5352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邓灯等凳蹬</cp:lastModifiedBy>
  <dcterms:modified xsi:type="dcterms:W3CDTF">2026-10-13T06:19:42Z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eyJoZGlkIjoiZTQ4NzI3YTRmNWRjYjRhMWVhNjdhMzQ2ODcxYzAyZTkiLCJ1c2VySWQiOiIzMjEzMTg1MTUifQ==</vt:lpwstr>
  </property>
  <property fmtid="{D5CDD505-2E9C-101B-9397-08002B2CF9AE}" pid="3" name="KSOProductBuildVer">
    <vt:lpwstr>2052-12.1.0.28505</vt:lpwstr>
  </property>
  <property fmtid="{D5CDD505-2E9C-101B-9397-08002B2CF9AE}" pid="4" name="ICV">
    <vt:lpwstr>DC66512F9CC144DBB9F40A0DDB266F52_12</vt:lpwstr>
  </property>
</Properties>
</file>